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4567D5" w:rsidP="004567D5">
      <w:pPr>
        <w:spacing w:line="480" w:lineRule="auto"/>
        <w:jc w:val="both"/>
        <w:rPr>
          <w:rFonts w:ascii="Times New Roman" w:hAnsi="Times New Roman" w:cs="Times New Roman"/>
          <w:sz w:val="24"/>
          <w:szCs w:val="24"/>
        </w:rPr>
      </w:pPr>
    </w:p>
    <w:p w:rsidR="004567D5" w:rsidP="004567D5">
      <w:pPr>
        <w:spacing w:line="480" w:lineRule="auto"/>
        <w:jc w:val="both"/>
        <w:rPr>
          <w:rFonts w:ascii="Times New Roman" w:hAnsi="Times New Roman" w:cs="Times New Roman"/>
          <w:sz w:val="24"/>
          <w:szCs w:val="24"/>
        </w:rPr>
      </w:pPr>
    </w:p>
    <w:p w:rsidR="004567D5" w:rsidP="004567D5">
      <w:pPr>
        <w:spacing w:line="480" w:lineRule="auto"/>
        <w:jc w:val="both"/>
        <w:rPr>
          <w:rFonts w:ascii="Times New Roman" w:hAnsi="Times New Roman" w:cs="Times New Roman"/>
          <w:sz w:val="24"/>
          <w:szCs w:val="24"/>
        </w:rPr>
      </w:pPr>
    </w:p>
    <w:p w:rsidR="004567D5" w:rsidP="004567D5">
      <w:pPr>
        <w:spacing w:line="480" w:lineRule="auto"/>
        <w:jc w:val="both"/>
        <w:rPr>
          <w:rFonts w:ascii="Times New Roman" w:hAnsi="Times New Roman" w:cs="Times New Roman"/>
          <w:sz w:val="24"/>
          <w:szCs w:val="24"/>
        </w:rPr>
      </w:pPr>
    </w:p>
    <w:p w:rsidR="004567D5" w:rsidP="004567D5">
      <w:pPr>
        <w:spacing w:line="480" w:lineRule="auto"/>
        <w:jc w:val="center"/>
        <w:rPr>
          <w:rFonts w:ascii="Times New Roman" w:hAnsi="Times New Roman" w:cs="Times New Roman"/>
          <w:sz w:val="24"/>
          <w:szCs w:val="24"/>
        </w:rPr>
      </w:pPr>
    </w:p>
    <w:p w:rsidR="004567D5" w:rsidP="004567D5">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4567D5" w:rsidP="004567D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67D5" w:rsidRPr="004567D5" w:rsidP="004567D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567D5" w:rsidP="004567D5">
      <w:pPr>
        <w:spacing w:line="480" w:lineRule="auto"/>
        <w:jc w:val="center"/>
        <w:rPr>
          <w:rFonts w:ascii="Times New Roman" w:hAnsi="Times New Roman" w:cs="Times New Roman"/>
          <w:b/>
          <w:sz w:val="24"/>
          <w:szCs w:val="24"/>
          <w:u w:val="single"/>
        </w:rPr>
      </w:pPr>
    </w:p>
    <w:p w:rsidR="004567D5" w:rsidP="004567D5">
      <w:pPr>
        <w:spacing w:line="480" w:lineRule="auto"/>
        <w:jc w:val="center"/>
        <w:rPr>
          <w:rFonts w:ascii="Times New Roman" w:hAnsi="Times New Roman" w:cs="Times New Roman"/>
          <w:b/>
          <w:sz w:val="24"/>
          <w:szCs w:val="24"/>
          <w:u w:val="single"/>
        </w:rPr>
      </w:pPr>
    </w:p>
    <w:p w:rsidR="004567D5" w:rsidP="004567D5">
      <w:pPr>
        <w:spacing w:line="480" w:lineRule="auto"/>
        <w:jc w:val="both"/>
        <w:rPr>
          <w:rFonts w:ascii="Times New Roman" w:hAnsi="Times New Roman" w:cs="Times New Roman"/>
          <w:b/>
          <w:sz w:val="24"/>
          <w:szCs w:val="24"/>
          <w:u w:val="single"/>
        </w:rPr>
      </w:pPr>
    </w:p>
    <w:p w:rsidR="004567D5" w:rsidP="004567D5">
      <w:pPr>
        <w:spacing w:line="480" w:lineRule="auto"/>
        <w:jc w:val="both"/>
        <w:rPr>
          <w:rFonts w:ascii="Times New Roman" w:hAnsi="Times New Roman" w:cs="Times New Roman"/>
          <w:b/>
          <w:sz w:val="24"/>
          <w:szCs w:val="24"/>
          <w:u w:val="single"/>
        </w:rPr>
      </w:pPr>
    </w:p>
    <w:p w:rsidR="004567D5" w:rsidP="004567D5">
      <w:pPr>
        <w:spacing w:line="480" w:lineRule="auto"/>
        <w:jc w:val="both"/>
        <w:rPr>
          <w:rFonts w:ascii="Times New Roman" w:hAnsi="Times New Roman" w:cs="Times New Roman"/>
          <w:b/>
          <w:sz w:val="24"/>
          <w:szCs w:val="24"/>
          <w:u w:val="single"/>
        </w:rPr>
      </w:pPr>
    </w:p>
    <w:p w:rsidR="004567D5" w:rsidP="004567D5">
      <w:pPr>
        <w:spacing w:line="480" w:lineRule="auto"/>
        <w:jc w:val="both"/>
        <w:rPr>
          <w:rFonts w:ascii="Times New Roman" w:hAnsi="Times New Roman" w:cs="Times New Roman"/>
          <w:b/>
          <w:sz w:val="24"/>
          <w:szCs w:val="24"/>
          <w:u w:val="single"/>
        </w:rPr>
      </w:pPr>
    </w:p>
    <w:p w:rsidR="004567D5" w:rsidP="004567D5">
      <w:pPr>
        <w:spacing w:line="480" w:lineRule="auto"/>
        <w:jc w:val="both"/>
        <w:rPr>
          <w:rFonts w:ascii="Times New Roman" w:hAnsi="Times New Roman" w:cs="Times New Roman"/>
          <w:b/>
          <w:sz w:val="24"/>
          <w:szCs w:val="24"/>
          <w:u w:val="single"/>
        </w:rPr>
      </w:pPr>
    </w:p>
    <w:p w:rsidR="004567D5" w:rsidP="004567D5">
      <w:pPr>
        <w:spacing w:line="480" w:lineRule="auto"/>
        <w:jc w:val="both"/>
        <w:rPr>
          <w:rFonts w:ascii="Times New Roman" w:hAnsi="Times New Roman" w:cs="Times New Roman"/>
          <w:b/>
          <w:sz w:val="24"/>
          <w:szCs w:val="24"/>
          <w:u w:val="single"/>
        </w:rPr>
      </w:pPr>
    </w:p>
    <w:p w:rsidR="004567D5" w:rsidP="004567D5">
      <w:pPr>
        <w:spacing w:line="480" w:lineRule="auto"/>
        <w:jc w:val="both"/>
        <w:rPr>
          <w:rFonts w:ascii="Times New Roman" w:hAnsi="Times New Roman" w:cs="Times New Roman"/>
          <w:b/>
          <w:sz w:val="24"/>
          <w:szCs w:val="24"/>
          <w:u w:val="single"/>
        </w:rPr>
      </w:pPr>
    </w:p>
    <w:p w:rsidR="00847489" w:rsidRPr="004567D5" w:rsidP="004567D5">
      <w:pPr>
        <w:spacing w:line="480" w:lineRule="auto"/>
        <w:jc w:val="both"/>
        <w:rPr>
          <w:rFonts w:ascii="Times New Roman" w:hAnsi="Times New Roman" w:cs="Times New Roman"/>
          <w:b/>
          <w:sz w:val="24"/>
          <w:szCs w:val="24"/>
          <w:u w:val="single"/>
        </w:rPr>
      </w:pPr>
      <w:r w:rsidRPr="004567D5">
        <w:rPr>
          <w:rFonts w:ascii="Times New Roman" w:hAnsi="Times New Roman" w:cs="Times New Roman"/>
          <w:b/>
          <w:sz w:val="24"/>
          <w:szCs w:val="24"/>
          <w:u w:val="single"/>
        </w:rPr>
        <w:t>INTRODUCTION</w:t>
      </w:r>
    </w:p>
    <w:p w:rsidR="00B31A40" w:rsidP="004567D5">
      <w:pPr>
        <w:spacing w:line="480" w:lineRule="auto"/>
        <w:jc w:val="both"/>
        <w:rPr>
          <w:rFonts w:ascii="Times New Roman" w:hAnsi="Times New Roman" w:cs="Times New Roman"/>
          <w:sz w:val="24"/>
          <w:szCs w:val="24"/>
        </w:rPr>
      </w:pPr>
      <w:r>
        <w:rPr>
          <w:rFonts w:ascii="Times New Roman" w:hAnsi="Times New Roman" w:cs="Times New Roman"/>
          <w:sz w:val="24"/>
          <w:szCs w:val="24"/>
        </w:rPr>
        <w:t>Healthcare has always been an important sector in most common law nations. Therefore, to ensure that proper health care is provided to the people, the governments allocate a lot of funds for the healthcare projects. This particular submission endeavors to achieve its objectives by providing an in-depth analysis of how ethical and policy issues can affect healthcare coordination. 
</w:t>
      </w:r>
    </w:p>
    <w:p w:rsidR="00847489" w:rsidRPr="004567D5" w:rsidP="004567D5">
      <w:p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To improve collaboration and partnership with the health care services, the government feature of modernization has become a major commanding force in the sector. Protection of people who use health and care services, the public and others from harm being essential, the government has enacted a code that  ensures that privacy is promoted and upheld, and the dignity, rights and wellbeing of people who use health and care services is not undermined.
</w:t>
      </w:r>
    </w:p>
    <w:p w:rsidR="000C3DE5" w:rsidRPr="004567D5" w:rsidP="004567D5">
      <w:p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 xml:space="preserve">Ethical analysis has three main aspects: descriptive (what is right and good?), theoretical (what are the justifications for what is right and good?) and normative nine how we can act according to what is right and good. Their entwinement with the corresponding three critical domains of evidence-based policy (processes, contents, and outcomes) is clear. Thus, ethically sound health policy is likely to be a practical, effective health </w:t>
      </w:r>
      <w:r w:rsidRPr="004567D5" w:rsidR="004567D5">
        <w:rPr>
          <w:rFonts w:ascii="Times New Roman" w:hAnsi="Times New Roman" w:cs="Times New Roman"/>
          <w:sz w:val="24"/>
          <w:szCs w:val="24"/>
        </w:rPr>
        <w:t>policy</w:t>
      </w:r>
      <w:r w:rsidRPr="004567D5" w:rsidR="00934F3E">
        <w:rPr>
          <w:rFonts w:ascii="Times New Roman" w:hAnsi="Times New Roman" w:cs="Times New Roman"/>
          <w:sz w:val="24"/>
          <w:szCs w:val="24"/>
        </w:rPr>
        <w:t xml:space="preserve">. In their </w:t>
      </w:r>
      <w:r w:rsidRPr="004567D5" w:rsidR="004567D5">
        <w:rPr>
          <w:rFonts w:ascii="Times New Roman" w:hAnsi="Times New Roman" w:cs="Times New Roman"/>
          <w:sz w:val="24"/>
          <w:szCs w:val="24"/>
        </w:rPr>
        <w:t>book, The</w:t>
      </w:r>
      <w:r w:rsidRPr="004567D5" w:rsidR="00934F3E">
        <w:rPr>
          <w:rFonts w:ascii="Times New Roman" w:hAnsi="Times New Roman" w:cs="Times New Roman"/>
          <w:sz w:val="24"/>
          <w:szCs w:val="24"/>
        </w:rPr>
        <w:t xml:space="preserve"> Future of Children, </w:t>
      </w:r>
      <w:r w:rsidRPr="004567D5">
        <w:rPr>
          <w:rFonts w:ascii="Times New Roman" w:hAnsi="Times New Roman" w:cs="Times New Roman"/>
          <w:sz w:val="24"/>
          <w:szCs w:val="24"/>
        </w:rPr>
        <w:t xml:space="preserve">Lindsey Leininger and Helen Levy discuss some of the systems that affect child health and access to medical care. They argue that, despite tremendous progress in recent decades, not all children have insurance coverage, and immigrant children are especially vulnerable. Second, insurance coverage alone does not guarantee access to </w:t>
      </w:r>
      <w:r w:rsidRPr="004567D5" w:rsidR="004567D5">
        <w:rPr>
          <w:rFonts w:ascii="Times New Roman" w:hAnsi="Times New Roman" w:cs="Times New Roman"/>
          <w:sz w:val="24"/>
          <w:szCs w:val="24"/>
        </w:rPr>
        <w:t>care, and</w:t>
      </w:r>
      <w:r w:rsidRPr="004567D5">
        <w:rPr>
          <w:rFonts w:ascii="Times New Roman" w:hAnsi="Times New Roman" w:cs="Times New Roman"/>
          <w:sz w:val="24"/>
          <w:szCs w:val="24"/>
        </w:rPr>
        <w:t xml:space="preserve"> insured children may still face barriers to getting their care. Finally, access to care is only one of </w:t>
      </w:r>
      <w:r w:rsidRPr="004567D5">
        <w:rPr>
          <w:rFonts w:ascii="Times New Roman" w:hAnsi="Times New Roman" w:cs="Times New Roman"/>
          <w:sz w:val="24"/>
          <w:szCs w:val="24"/>
        </w:rPr>
        <w:t>the factors that policymakers should consider as they seek to make the nation's children healthier</w:t>
      </w:r>
      <w:r w:rsidR="00643AF5">
        <w:rPr>
          <w:rFonts w:ascii="Times New Roman" w:hAnsi="Times New Roman" w:cs="Times New Roman"/>
          <w:sz w:val="24"/>
          <w:szCs w:val="24"/>
        </w:rPr>
        <w:t xml:space="preserve">, in a bid to ensure that the government overseas healthcare operations, it has come up with policies. </w:t>
      </w:r>
      <w:r w:rsidRPr="004567D5">
        <w:rPr>
          <w:rFonts w:ascii="Times New Roman" w:hAnsi="Times New Roman" w:cs="Times New Roman"/>
          <w:sz w:val="24"/>
          <w:szCs w:val="24"/>
        </w:rPr>
        <w:t xml:space="preserve">The government's various systems play an important role in ensuring that </w:t>
      </w:r>
      <w:r w:rsidRPr="004567D5" w:rsidR="00C23735">
        <w:rPr>
          <w:rFonts w:ascii="Times New Roman" w:hAnsi="Times New Roman" w:cs="Times New Roman"/>
          <w:sz w:val="24"/>
          <w:szCs w:val="24"/>
        </w:rPr>
        <w:t>the good health of children is maintained.</w:t>
      </w:r>
    </w:p>
    <w:p w:rsidR="00C23735" w:rsidRPr="004567D5" w:rsidP="004567D5">
      <w:pPr>
        <w:spacing w:line="480" w:lineRule="auto"/>
        <w:jc w:val="both"/>
        <w:rPr>
          <w:rFonts w:ascii="Times New Roman" w:hAnsi="Times New Roman" w:cs="Times New Roman"/>
          <w:sz w:val="24"/>
          <w:szCs w:val="24"/>
        </w:rPr>
      </w:pPr>
    </w:p>
    <w:p w:rsidR="00C23735" w:rsidRPr="004567D5" w:rsidP="004567D5">
      <w:pPr>
        <w:pStyle w:val="ListParagraph"/>
        <w:numPr>
          <w:ilvl w:val="0"/>
          <w:numId w:val="1"/>
        </w:num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DEMAND SIDE POLICIES.</w:t>
      </w:r>
    </w:p>
    <w:p w:rsidR="004D53E3" w:rsidRPr="004567D5" w:rsidP="004567D5">
      <w:pPr>
        <w:pStyle w:val="ListParagraph"/>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 xml:space="preserve">The provision of free or subsidized health insurance is the primary demand-side policy in promoting access to medical care for children.  Studies show that the issuance of insurance covers such as Medicaid </w:t>
      </w:r>
      <w:r w:rsidRPr="004567D5" w:rsidR="00D71653">
        <w:rPr>
          <w:rFonts w:ascii="Times New Roman" w:hAnsi="Times New Roman" w:cs="Times New Roman"/>
          <w:sz w:val="24"/>
          <w:szCs w:val="24"/>
        </w:rPr>
        <w:t xml:space="preserve">has affected children's health in a positive manner. One study found that in the year after implementing Medicaid, mortality fell among infants, and this effect persisted for at least 10 years. The second study exploited variations across states in the timing of Medicaid adoption to estimate how exposure to Medicaid in childhood affected health in adulthood. It found that among children from low income families, those who experienced more years of Medicaid eligibility </w:t>
      </w:r>
      <w:r w:rsidRPr="004567D5" w:rsidR="005E47D9">
        <w:rPr>
          <w:rFonts w:ascii="Times New Roman" w:hAnsi="Times New Roman" w:cs="Times New Roman"/>
          <w:sz w:val="24"/>
          <w:szCs w:val="24"/>
        </w:rPr>
        <w:t>were in better health, measured using an index of chronic conditions, than were those with less exposure to Medicaid. This finding shows the effect of government involvement in the provision of health care for children.</w:t>
      </w:r>
    </w:p>
    <w:p w:rsidR="005E47D9" w:rsidRPr="004567D5" w:rsidP="004567D5">
      <w:pPr>
        <w:pStyle w:val="ListParagraph"/>
        <w:numPr>
          <w:ilvl w:val="0"/>
          <w:numId w:val="1"/>
        </w:num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.SUPPLY SIDE POLICIES</w:t>
      </w:r>
    </w:p>
    <w:p w:rsidR="00965C17" w:rsidRPr="004567D5" w:rsidP="004567D5">
      <w:pPr>
        <w:pStyle w:val="ListParagraph"/>
        <w:spacing w:line="480" w:lineRule="auto"/>
        <w:jc w:val="both"/>
        <w:rPr>
          <w:rFonts w:ascii="Times New Roman" w:hAnsi="Times New Roman" w:cs="Times New Roman"/>
          <w:sz w:val="24"/>
          <w:szCs w:val="24"/>
        </w:rPr>
      </w:pPr>
    </w:p>
    <w:p w:rsidR="00E62362" w:rsidRPr="004567D5" w:rsidP="004567D5">
      <w:pPr>
        <w:pStyle w:val="ListParagraph"/>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 xml:space="preserve">Low payments being one of the reasons why some providers do not attend to Medicaid patients, the government has put in place policies that focus on direct provision of care. These policies include Federally Qualified Health Centers, the Vaccines for Children </w:t>
      </w:r>
      <w:r w:rsidRPr="004567D5">
        <w:rPr>
          <w:rFonts w:ascii="Times New Roman" w:hAnsi="Times New Roman" w:cs="Times New Roman"/>
          <w:sz w:val="24"/>
          <w:szCs w:val="24"/>
        </w:rPr>
        <w:t>program, and school based health centers. These policies have created an umbrella that can absorb and handle the arising need of children in matters of health care.</w:t>
      </w:r>
    </w:p>
    <w:p w:rsidR="00925B6A" w:rsidRPr="004567D5" w:rsidP="004567D5">
      <w:pPr>
        <w:spacing w:line="480" w:lineRule="auto"/>
        <w:jc w:val="both"/>
        <w:rPr>
          <w:rFonts w:ascii="Times New Roman" w:hAnsi="Times New Roman" w:cs="Times New Roman"/>
          <w:sz w:val="24"/>
          <w:szCs w:val="24"/>
        </w:rPr>
      </w:pPr>
    </w:p>
    <w:p w:rsidR="00965C17" w:rsidRPr="004567D5" w:rsidP="004567D5">
      <w:pPr>
        <w:pStyle w:val="ListParagraph"/>
        <w:numPr>
          <w:ilvl w:val="0"/>
          <w:numId w:val="1"/>
        </w:num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 xml:space="preserve">HEALTH </w:t>
      </w:r>
      <w:r w:rsidRPr="004567D5">
        <w:rPr>
          <w:rFonts w:ascii="Times New Roman" w:hAnsi="Times New Roman" w:cs="Times New Roman"/>
          <w:sz w:val="24"/>
          <w:szCs w:val="24"/>
        </w:rPr>
        <w:t>INSURANCE PORTABILITY AND ACCOUNTABILITY ACT (HIPAA)</w:t>
      </w:r>
    </w:p>
    <w:p w:rsidR="004D53E3" w:rsidRPr="004567D5" w:rsidP="004567D5">
      <w:p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Under the HIPAA privacy rule, adolescents who legally are adults and emancipated minors can exercise the rights of individuals; specific provisions address the protected health information of adolescents who</w:t>
      </w:r>
      <w:bookmarkStart w:id="0" w:name="_GoBack"/>
      <w:bookmarkEnd w:id="0"/>
      <w:r w:rsidRPr="004567D5">
        <w:rPr>
          <w:rFonts w:ascii="Times New Roman" w:hAnsi="Times New Roman" w:cs="Times New Roman"/>
          <w:sz w:val="24"/>
          <w:szCs w:val="24"/>
        </w:rPr>
        <w:t xml:space="preserve"> are younger than 18 and not emancipated.</w:t>
      </w:r>
    </w:p>
    <w:p w:rsidR="00925B6A" w:rsidRPr="004567D5" w:rsidP="004567D5">
      <w:p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The code of ethics for nurses addresses attention to duty, social justice, and interdependence. Nurses therefore advocate for equity and social justice in resource allocation, access to health care, and other social and economic services. This ensures that all children are eligible for quality healthcare, without impartiality in service provision.</w:t>
      </w:r>
      <w:r w:rsidR="00643AF5">
        <w:rPr>
          <w:rFonts w:ascii="Times New Roman" w:hAnsi="Times New Roman" w:cs="Times New Roman"/>
          <w:sz w:val="24"/>
          <w:szCs w:val="24"/>
        </w:rPr>
        <w:t xml:space="preserve"> Courtesy of the code of ethics for nurses, children across different states have been able to acquire proper hospitality from the nurses as well. A proper nurse feels happy whenever the patient recovers from the illness. The code of ethics has also gone ahead to ensure that no patient is left unattended to in the hospital beds. </w:t>
      </w:r>
    </w:p>
    <w:p w:rsidR="00646C02" w:rsidRPr="004567D5" w:rsidP="004567D5">
      <w:p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In conclusion, it is evident that the government plays a key role in the health care provision for children.</w:t>
      </w:r>
      <w:r w:rsidRPr="004567D5">
        <w:rPr>
          <w:rFonts w:ascii="Times New Roman" w:hAnsi="Times New Roman" w:cs="Times New Roman"/>
          <w:sz w:val="24"/>
          <w:szCs w:val="24"/>
        </w:rPr>
        <w:t xml:space="preserve"> Policies put in place by the government can greatly contribute to the better health of children, thus a healthier community. Nurses, guided by the code of ethics for nurses, are under an obligation of ensuring quality health is available to every child.</w:t>
      </w:r>
      <w:r w:rsidR="00643AF5">
        <w:rPr>
          <w:rFonts w:ascii="Times New Roman" w:hAnsi="Times New Roman" w:cs="Times New Roman"/>
          <w:sz w:val="24"/>
          <w:szCs w:val="24"/>
        </w:rPr>
        <w:t xml:space="preserve"> Furthermore, healthcare is also considered an essential right which actually has to be enjoyed by all and sundry. If we believe that the society we live in advocates for equality, then healthcare should be provided equitably to the people: without fear or favor.  </w:t>
      </w:r>
    </w:p>
    <w:p w:rsidR="00646C02" w:rsidRPr="004567D5" w:rsidP="004567D5">
      <w:pPr>
        <w:spacing w:line="480" w:lineRule="auto"/>
        <w:jc w:val="both"/>
        <w:rPr>
          <w:rFonts w:ascii="Times New Roman" w:hAnsi="Times New Roman" w:cs="Times New Roman"/>
          <w:sz w:val="24"/>
          <w:szCs w:val="24"/>
        </w:rPr>
      </w:pPr>
    </w:p>
    <w:p w:rsidR="004567D5" w:rsidRPr="004567D5" w:rsidP="004567D5">
      <w:pPr>
        <w:spacing w:line="480" w:lineRule="auto"/>
        <w:jc w:val="both"/>
        <w:rPr>
          <w:rFonts w:ascii="Times New Roman" w:hAnsi="Times New Roman" w:cs="Times New Roman"/>
          <w:sz w:val="24"/>
          <w:szCs w:val="24"/>
        </w:rPr>
      </w:pPr>
    </w:p>
    <w:p w:rsidR="004567D5" w:rsidRPr="004567D5" w:rsidP="004567D5">
      <w:pPr>
        <w:spacing w:line="480" w:lineRule="auto"/>
        <w:jc w:val="both"/>
        <w:rPr>
          <w:rFonts w:ascii="Times New Roman" w:hAnsi="Times New Roman" w:cs="Times New Roman"/>
          <w:sz w:val="24"/>
          <w:szCs w:val="24"/>
        </w:rPr>
      </w:pPr>
    </w:p>
    <w:p w:rsidR="004567D5" w:rsidRPr="004567D5" w:rsidP="004567D5">
      <w:pPr>
        <w:spacing w:line="480" w:lineRule="auto"/>
        <w:jc w:val="both"/>
        <w:rPr>
          <w:rFonts w:ascii="Times New Roman" w:hAnsi="Times New Roman" w:cs="Times New Roman"/>
          <w:sz w:val="24"/>
          <w:szCs w:val="24"/>
        </w:rPr>
      </w:pPr>
    </w:p>
    <w:p w:rsidR="004567D5" w:rsidRPr="004567D5" w:rsidP="004567D5">
      <w:pPr>
        <w:spacing w:line="480" w:lineRule="auto"/>
        <w:jc w:val="both"/>
        <w:rPr>
          <w:rFonts w:ascii="Times New Roman" w:hAnsi="Times New Roman" w:cs="Times New Roman"/>
          <w:sz w:val="24"/>
          <w:szCs w:val="24"/>
        </w:rPr>
      </w:pPr>
    </w:p>
    <w:p w:rsidR="004567D5" w:rsidRPr="004567D5" w:rsidP="004567D5">
      <w:pPr>
        <w:spacing w:line="480" w:lineRule="auto"/>
        <w:jc w:val="both"/>
        <w:rPr>
          <w:rFonts w:ascii="Times New Roman" w:hAnsi="Times New Roman" w:cs="Times New Roman"/>
          <w:sz w:val="24"/>
          <w:szCs w:val="24"/>
        </w:rPr>
      </w:pPr>
    </w:p>
    <w:p w:rsidR="004567D5" w:rsidRPr="004567D5" w:rsidP="004567D5">
      <w:pPr>
        <w:spacing w:line="480" w:lineRule="auto"/>
        <w:jc w:val="both"/>
        <w:rPr>
          <w:rFonts w:ascii="Times New Roman" w:hAnsi="Times New Roman" w:cs="Times New Roman"/>
          <w:sz w:val="24"/>
          <w:szCs w:val="24"/>
        </w:rPr>
      </w:pPr>
    </w:p>
    <w:p w:rsidR="004567D5" w:rsidRPr="004567D5" w:rsidP="004567D5">
      <w:pPr>
        <w:spacing w:line="480" w:lineRule="auto"/>
        <w:jc w:val="both"/>
        <w:rPr>
          <w:rFonts w:ascii="Times New Roman" w:hAnsi="Times New Roman" w:cs="Times New Roman"/>
          <w:sz w:val="24"/>
          <w:szCs w:val="24"/>
        </w:rPr>
      </w:pPr>
    </w:p>
    <w:p w:rsidR="004567D5" w:rsidRPr="004567D5" w:rsidP="004567D5">
      <w:pPr>
        <w:spacing w:line="480" w:lineRule="auto"/>
        <w:jc w:val="both"/>
        <w:rPr>
          <w:rFonts w:ascii="Times New Roman" w:hAnsi="Times New Roman" w:cs="Times New Roman"/>
          <w:sz w:val="24"/>
          <w:szCs w:val="24"/>
        </w:rPr>
      </w:pPr>
    </w:p>
    <w:p w:rsidR="00BD6E16" w:rsidRPr="004567D5" w:rsidP="004567D5">
      <w:p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 xml:space="preserve">   REFERENCES</w:t>
      </w:r>
    </w:p>
    <w:p w:rsidR="00BD6E16" w:rsidRPr="004567D5" w:rsidP="004567D5">
      <w:p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Lindsey, Leininger  and Helen Levy. 2015. The Future of Children. Princeton University.</w:t>
      </w:r>
    </w:p>
    <w:p w:rsidR="004450E0" w:rsidRPr="004567D5" w:rsidP="004567D5">
      <w:p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Audrey, Leathard.</w:t>
      </w:r>
      <w:r w:rsidRPr="004567D5">
        <w:rPr>
          <w:rFonts w:ascii="Times New Roman" w:hAnsi="Times New Roman" w:cs="Times New Roman"/>
          <w:sz w:val="24"/>
          <w:szCs w:val="24"/>
        </w:rPr>
        <w:t xml:space="preserve"> 2009. Interprofessional C0llaboration: Policy to Practice in Health and Social Care. Routledge, 27 Church Road, Hove, East Sussex, pp 12-69</w:t>
      </w:r>
    </w:p>
    <w:p w:rsidR="00934F3E" w:rsidRPr="004567D5" w:rsidP="004567D5">
      <w:pPr>
        <w:spacing w:line="480" w:lineRule="auto"/>
        <w:jc w:val="both"/>
        <w:rPr>
          <w:rFonts w:ascii="Times New Roman" w:hAnsi="Times New Roman" w:cs="Times New Roman"/>
          <w:sz w:val="24"/>
          <w:szCs w:val="24"/>
        </w:rPr>
      </w:pPr>
      <w:r w:rsidRPr="004567D5">
        <w:rPr>
          <w:rFonts w:ascii="Times New Roman" w:hAnsi="Times New Roman" w:cs="Times New Roman"/>
          <w:sz w:val="24"/>
          <w:szCs w:val="24"/>
        </w:rPr>
        <w:t>Health and Insurance Portability and Accountability Act (HIPPA), 1996</w:t>
      </w:r>
      <w:r w:rsidRPr="004567D5">
        <w:rPr>
          <w:rFonts w:ascii="Times New Roman" w:hAnsi="Times New Roman" w:cs="Times New Roman"/>
          <w:sz w:val="24"/>
          <w:szCs w:val="24"/>
        </w:rPr>
        <w:br w:type="page"/>
      </w:r>
    </w:p>
    <w:p w:rsidR="00847489" w:rsidRPr="004567D5" w:rsidP="004567D5">
      <w:pPr>
        <w:spacing w:line="480" w:lineRule="auto"/>
        <w:jc w:val="both"/>
        <w:rPr>
          <w:rFonts w:ascii="Times New Roman" w:hAnsi="Times New Roman" w:cs="Times New Roman"/>
          <w:sz w:val="24"/>
          <w:szCs w:val="24"/>
        </w:rPr>
      </w:pPr>
    </w:p>
    <w:p w:rsidR="00E47200" w:rsidRPr="004567D5" w:rsidP="004567D5">
      <w:pPr>
        <w:spacing w:line="480" w:lineRule="auto"/>
        <w:jc w:val="both"/>
        <w:rPr>
          <w:rFonts w:ascii="Times New Roman" w:hAnsi="Times New Roman" w:cs="Times New Roman"/>
          <w:sz w:val="24"/>
          <w:szCs w:val="24"/>
        </w:rPr>
      </w:pPr>
    </w:p>
    <w:p w:rsidR="00847489" w:rsidRPr="004567D5" w:rsidP="004567D5">
      <w:pPr>
        <w:spacing w:line="480" w:lineRule="auto"/>
        <w:jc w:val="both"/>
        <w:rPr>
          <w:rFonts w:ascii="Times New Roman" w:hAnsi="Times New Roman" w:cs="Times New Roman"/>
          <w:sz w:val="24"/>
          <w:szCs w:val="24"/>
        </w:rPr>
      </w:pPr>
    </w:p>
    <w:sectPr w:rsidSect="00490C70">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5479810"/>
      <w:docPartObj>
        <w:docPartGallery w:val="Page Numbers (Bottom of Page)"/>
        <w:docPartUnique/>
      </w:docPartObj>
    </w:sdtPr>
    <w:sdtEndPr>
      <w:rPr>
        <w:noProof/>
      </w:rPr>
    </w:sdtEndPr>
    <w:sdtContent>
      <w:p w:rsidR="00934F3E">
        <w:pPr>
          <w:pStyle w:val="Footer"/>
        </w:pPr>
        <w:r>
          <w:fldChar w:fldCharType="begin"/>
        </w:r>
        <w:r>
          <w:instrText xml:space="preserve"> PAGE   \* MERGEFORMAT </w:instrText>
        </w:r>
        <w:r>
          <w:fldChar w:fldCharType="separate"/>
        </w:r>
        <w:r w:rsidR="00B31A40">
          <w:rPr>
            <w:noProof/>
          </w:rPr>
          <w:t>1</w:t>
        </w:r>
        <w:r>
          <w:rPr>
            <w:noProof/>
          </w:rPr>
          <w:fldChar w:fldCharType="end"/>
        </w:r>
      </w:p>
    </w:sdtContent>
  </w:sdt>
  <w:p w:rsidR="00934F3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02719"/>
      <w:docPartObj>
        <w:docPartGallery w:val="Page Numbers (Top of Page)"/>
        <w:docPartUnique/>
      </w:docPartObj>
    </w:sdtPr>
    <w:sdtContent>
      <w:p w:rsidR="004567D5">
        <w:pPr>
          <w:pStyle w:val="Header"/>
        </w:pPr>
        <w:r>
          <w:t xml:space="preserve">Running header:  Ethical and Policy Issues                                                                                </w:t>
        </w:r>
        <w:r>
          <w:fldChar w:fldCharType="begin"/>
        </w:r>
        <w:r>
          <w:instrText xml:space="preserve"> PAGE   \* MERGEFORMAT </w:instrText>
        </w:r>
        <w:r>
          <w:fldChar w:fldCharType="separate"/>
        </w:r>
        <w:r w:rsidR="00B31A40">
          <w:rPr>
            <w:noProof/>
          </w:rPr>
          <w:t>1</w:t>
        </w:r>
        <w:r w:rsidR="00B31A40">
          <w:rPr>
            <w:noProof/>
          </w:rPr>
          <w:fldChar w:fldCharType="end"/>
        </w:r>
      </w:p>
    </w:sdtContent>
  </w:sdt>
  <w:p w:rsidR="004567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6A3E72"/>
    <w:multiLevelType w:val="hybridMultilevel"/>
    <w:tmpl w:val="4CE0A58C"/>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4E770398"/>
    <w:multiLevelType w:val="hybridMultilevel"/>
    <w:tmpl w:val="7CF2ED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rsids>
    <w:rsidRoot w:val="00847489"/>
    <w:rsid w:val="000C3DE5"/>
    <w:rsid w:val="002613B7"/>
    <w:rsid w:val="004450E0"/>
    <w:rsid w:val="004567D5"/>
    <w:rsid w:val="00490C70"/>
    <w:rsid w:val="004D53E3"/>
    <w:rsid w:val="005E47D9"/>
    <w:rsid w:val="00643AF5"/>
    <w:rsid w:val="00646C02"/>
    <w:rsid w:val="00847489"/>
    <w:rsid w:val="00883642"/>
    <w:rsid w:val="00916E78"/>
    <w:rsid w:val="00925B6A"/>
    <w:rsid w:val="00934F3E"/>
    <w:rsid w:val="00965C17"/>
    <w:rsid w:val="00B31A40"/>
    <w:rsid w:val="00B37346"/>
    <w:rsid w:val="00BD6E16"/>
    <w:rsid w:val="00C23735"/>
    <w:rsid w:val="00D71653"/>
    <w:rsid w:val="00E47200"/>
    <w:rsid w:val="00E62362"/>
    <w:rsid w:val="00F628DD"/>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C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F3E"/>
  </w:style>
  <w:style w:type="paragraph" w:styleId="Footer">
    <w:name w:val="footer"/>
    <w:basedOn w:val="Normal"/>
    <w:link w:val="FooterChar"/>
    <w:uiPriority w:val="99"/>
    <w:unhideWhenUsed/>
    <w:rsid w:val="00934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F3E"/>
  </w:style>
  <w:style w:type="paragraph" w:styleId="ListParagraph">
    <w:name w:val="List Paragraph"/>
    <w:basedOn w:val="Normal"/>
    <w:uiPriority w:val="34"/>
    <w:qFormat/>
    <w:rsid w:val="00C2373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OGADA</dc:creator>
  <cp:lastModifiedBy>Dream.Teamwriters254</cp:lastModifiedBy>
  <cp:revision>4</cp:revision>
  <dcterms:created xsi:type="dcterms:W3CDTF">2020-09-14T21:09:00Z</dcterms:created>
  <dcterms:modified xsi:type="dcterms:W3CDTF">2020-09-14T11:30:00Z</dcterms:modified>
</cp:coreProperties>
</file>